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303" w:rsidRDefault="000A5621">
      <w:bookmarkStart w:id="0" w:name="id.gjdgxs" w:colFirst="0" w:colLast="0"/>
      <w:bookmarkStart w:id="1" w:name="_GoBack"/>
      <w:bookmarkEnd w:id="0"/>
      <w:bookmarkEnd w:id="1"/>
      <w:r>
        <w:rPr>
          <w:rFonts w:ascii="Verdana" w:eastAsia="Verdana" w:hAnsi="Verdana" w:cs="Verdana"/>
          <w:sz w:val="20"/>
        </w:rPr>
        <w:br/>
      </w:r>
    </w:p>
    <w:p w:rsidR="003C2303" w:rsidRPr="004F7CED" w:rsidRDefault="000A5621">
      <w:pPr>
        <w:rPr>
          <w:lang w:val="nb-NO"/>
        </w:rPr>
      </w:pPr>
      <w:r w:rsidRPr="004F7CED">
        <w:rPr>
          <w:rFonts w:ascii="Verdana" w:eastAsia="Verdana" w:hAnsi="Verdana" w:cs="Verdana"/>
          <w:sz w:val="20"/>
          <w:lang w:val="nb-NO"/>
        </w:rPr>
        <w:t>Miljøverndepartementet</w:t>
      </w:r>
      <w:r w:rsidRPr="004F7CED">
        <w:rPr>
          <w:rFonts w:ascii="Verdana" w:eastAsia="Verdana" w:hAnsi="Verdana" w:cs="Verdana"/>
          <w:sz w:val="20"/>
          <w:lang w:val="nb-NO"/>
        </w:rPr>
        <w:br/>
        <w:t>v/Lajla White og Solveig Paulsen</w:t>
      </w:r>
    </w:p>
    <w:p w:rsidR="003C2303" w:rsidRDefault="003C2303">
      <w:pPr>
        <w:rPr>
          <w:lang w:val="nb-NO"/>
        </w:rPr>
      </w:pPr>
    </w:p>
    <w:p w:rsidR="001F29A3" w:rsidRPr="004F7CED" w:rsidRDefault="001F29A3">
      <w:pPr>
        <w:rPr>
          <w:lang w:val="nb-NO"/>
        </w:rPr>
      </w:pPr>
    </w:p>
    <w:p w:rsidR="003C2303" w:rsidRPr="004F7CED" w:rsidRDefault="000A5621">
      <w:pPr>
        <w:rPr>
          <w:lang w:val="nb-NO"/>
        </w:rPr>
      </w:pP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r w:rsidRPr="004F7CED">
        <w:rPr>
          <w:rFonts w:ascii="Verdana" w:eastAsia="Verdana" w:hAnsi="Verdana" w:cs="Verdana"/>
          <w:b/>
          <w:sz w:val="20"/>
          <w:lang w:val="nb-NO"/>
        </w:rPr>
        <w:tab/>
      </w:r>
    </w:p>
    <w:p w:rsidR="003C2303" w:rsidRPr="004F7CED" w:rsidRDefault="003C2303">
      <w:pPr>
        <w:ind w:left="7200" w:firstLine="720"/>
        <w:rPr>
          <w:lang w:val="nb-NO"/>
        </w:rPr>
      </w:pPr>
    </w:p>
    <w:p w:rsidR="003C2303" w:rsidRPr="004F7CED" w:rsidRDefault="006F2659" w:rsidP="006F2659">
      <w:pPr>
        <w:ind w:left="7200"/>
        <w:rPr>
          <w:lang w:val="nb-NO"/>
        </w:rPr>
      </w:pPr>
      <w:r>
        <w:rPr>
          <w:rFonts w:ascii="Verdana" w:eastAsia="Verdana" w:hAnsi="Verdana" w:cs="Verdana"/>
          <w:sz w:val="20"/>
          <w:lang w:val="nb-NO"/>
        </w:rPr>
        <w:t xml:space="preserve">Dato </w:t>
      </w:r>
      <w:r w:rsidR="000A5621" w:rsidRPr="004F7CED">
        <w:rPr>
          <w:rFonts w:ascii="Verdana" w:eastAsia="Verdana" w:hAnsi="Verdana" w:cs="Verdana"/>
          <w:sz w:val="20"/>
          <w:lang w:val="nb-NO"/>
        </w:rPr>
        <w:t>15.01.13</w:t>
      </w:r>
    </w:p>
    <w:p w:rsidR="003C2303" w:rsidRPr="004F7CED" w:rsidRDefault="000A5621">
      <w:pPr>
        <w:rPr>
          <w:lang w:val="nb-NO"/>
        </w:rPr>
      </w:pPr>
      <w:r w:rsidRPr="004F7CED">
        <w:rPr>
          <w:rFonts w:ascii="Verdana" w:eastAsia="Verdana" w:hAnsi="Verdana" w:cs="Verdana"/>
          <w:b/>
          <w:sz w:val="20"/>
          <w:lang w:val="nb-NO"/>
        </w:rPr>
        <w:t xml:space="preserve">Høringssvar fra Greenpeace og Regnskogfondet– forslag om forskrifter om omsetning av tømmer og </w:t>
      </w:r>
      <w:proofErr w:type="spellStart"/>
      <w:r w:rsidRPr="004F7CED">
        <w:rPr>
          <w:rFonts w:ascii="Verdana" w:eastAsia="Verdana" w:hAnsi="Verdana" w:cs="Verdana"/>
          <w:b/>
          <w:sz w:val="20"/>
          <w:lang w:val="nb-NO"/>
        </w:rPr>
        <w:t>treprodukter</w:t>
      </w:r>
      <w:proofErr w:type="spellEnd"/>
      <w:r w:rsidRPr="004F7CED">
        <w:rPr>
          <w:rFonts w:ascii="Verdana" w:eastAsia="Verdana" w:hAnsi="Verdana" w:cs="Verdana"/>
          <w:b/>
          <w:sz w:val="20"/>
          <w:lang w:val="nb-NO"/>
        </w:rPr>
        <w:t xml:space="preserve"> - gjennomføring av EUs tømmerforordning i Norge</w:t>
      </w:r>
      <w:r w:rsidR="006F2659">
        <w:rPr>
          <w:lang w:val="nb-NO"/>
        </w:rPr>
        <w:t>.</w:t>
      </w:r>
    </w:p>
    <w:p w:rsidR="003C2303" w:rsidRPr="004F7CED" w:rsidRDefault="000A5621">
      <w:pPr>
        <w:rPr>
          <w:lang w:val="nb-NO"/>
        </w:rPr>
      </w:pPr>
      <w:r w:rsidRPr="004F7CED">
        <w:rPr>
          <w:rFonts w:ascii="Verdana" w:eastAsia="Verdana" w:hAnsi="Verdana" w:cs="Verdana"/>
          <w:sz w:val="20"/>
          <w:lang w:val="nb-NO"/>
        </w:rPr>
        <w:t>Det vises til høringsbrev mottatt 22.11.12.</w:t>
      </w:r>
    </w:p>
    <w:p w:rsidR="003C2303" w:rsidRPr="004F7CED" w:rsidRDefault="000A5621">
      <w:pPr>
        <w:rPr>
          <w:lang w:val="nb-NO"/>
        </w:rPr>
      </w:pPr>
      <w:r w:rsidRPr="004F7CED">
        <w:rPr>
          <w:rFonts w:ascii="Verdana" w:eastAsia="Verdana" w:hAnsi="Verdana" w:cs="Verdana"/>
          <w:sz w:val="20"/>
          <w:lang w:val="nb-NO"/>
        </w:rPr>
        <w:t xml:space="preserve">Greenpeace og Regnskogfondet har i mange år jobbet aktivt med problemstillinger knyttet til ulovlig tømmerhogst og handel med tømmer og </w:t>
      </w:r>
      <w:proofErr w:type="spellStart"/>
      <w:r w:rsidRPr="004F7CED">
        <w:rPr>
          <w:rFonts w:ascii="Verdana" w:eastAsia="Verdana" w:hAnsi="Verdana" w:cs="Verdana"/>
          <w:sz w:val="20"/>
          <w:lang w:val="nb-NO"/>
        </w:rPr>
        <w:t>treprodukter</w:t>
      </w:r>
      <w:proofErr w:type="spellEnd"/>
      <w:r w:rsidRPr="004F7CED">
        <w:rPr>
          <w:rFonts w:ascii="Verdana" w:eastAsia="Verdana" w:hAnsi="Verdana" w:cs="Verdana"/>
          <w:sz w:val="20"/>
          <w:lang w:val="nb-NO"/>
        </w:rPr>
        <w:t xml:space="preserve">, ikke minst gjennom FLEGT-prosessen og gjennom direkte samarbeid med kolleger og miljøorganisasjoner i land som eksporterer tropisk og borealt tømmer. Vi ønsker velkommen en lovgivning som forbyr omsetning av tømmer som er ulovlig høstet og produsert, og produkter fremstilt av slikt tømmer.  </w:t>
      </w:r>
    </w:p>
    <w:p w:rsidR="003C2303" w:rsidRPr="004F7CED" w:rsidRDefault="000A5621">
      <w:pPr>
        <w:rPr>
          <w:lang w:val="nb-NO"/>
        </w:rPr>
      </w:pPr>
      <w:r w:rsidRPr="004F7CED">
        <w:rPr>
          <w:rFonts w:ascii="Verdana" w:eastAsia="Verdana" w:hAnsi="Verdana" w:cs="Verdana"/>
          <w:sz w:val="20"/>
          <w:lang w:val="nb-NO"/>
        </w:rPr>
        <w:t xml:space="preserve">Ulovlig hogst er blant de viktigste årsakene til avskoging og skogforringelse globalt. Greenpeace og Regnskogfondet anser EUs tømmerforordning som et </w:t>
      </w:r>
      <w:r w:rsidR="004F7CED">
        <w:rPr>
          <w:rFonts w:ascii="Verdana" w:eastAsia="Verdana" w:hAnsi="Verdana" w:cs="Verdana"/>
          <w:sz w:val="20"/>
          <w:lang w:val="nb-NO"/>
        </w:rPr>
        <w:t xml:space="preserve">potensielt </w:t>
      </w:r>
      <w:r w:rsidRPr="004F7CED">
        <w:rPr>
          <w:rFonts w:ascii="Verdana" w:eastAsia="Verdana" w:hAnsi="Verdana" w:cs="Verdana"/>
          <w:sz w:val="20"/>
          <w:lang w:val="nb-NO"/>
        </w:rPr>
        <w:t xml:space="preserve">svært viktig verktøy for å forhindre handel med ulovlig tømmer og </w:t>
      </w:r>
      <w:proofErr w:type="spellStart"/>
      <w:r w:rsidRPr="004F7CED">
        <w:rPr>
          <w:rFonts w:ascii="Verdana" w:eastAsia="Verdana" w:hAnsi="Verdana" w:cs="Verdana"/>
          <w:sz w:val="20"/>
          <w:lang w:val="nb-NO"/>
        </w:rPr>
        <w:t>treprodukter</w:t>
      </w:r>
      <w:proofErr w:type="spellEnd"/>
      <w:r w:rsidRPr="004F7CED">
        <w:rPr>
          <w:rFonts w:ascii="Verdana" w:eastAsia="Verdana" w:hAnsi="Verdana" w:cs="Verdana"/>
          <w:sz w:val="20"/>
          <w:lang w:val="nb-NO"/>
        </w:rPr>
        <w:t xml:space="preserve">, og støtter gjennomføringen av forordningen i Norge. Vi vil imidlertid understreke at også «lovlig tømmerhogst» i mange land medfører store miljøødeleggelser og sosiale konflikter. Lovlig tømmerhogst betyr ikke nødvendigvis bærekraftig. Mange land tillater hogst som fører til store klimagassutslipp og tap av uerstattelig biologisk mangfold. Det er også et utbredt problem at lovlige hogstkonsesjoner utdeles uten å ta hensyn til menneskerettigheter. Overgrep mot urfolk og brudd på menneskerettigheter er vanlig også i forbindelse med lovlig avvirkning av skog. </w:t>
      </w:r>
      <w:r w:rsidR="004F7CED">
        <w:rPr>
          <w:rFonts w:ascii="Verdana" w:eastAsia="Verdana" w:hAnsi="Verdana" w:cs="Verdana"/>
          <w:sz w:val="20"/>
          <w:lang w:val="nb-NO"/>
        </w:rPr>
        <w:t xml:space="preserve">Norge og EU bør derfor arbeide for at alt omsatt trevirke skal hogges på en miljøvennlig og bærekraftig måte. </w:t>
      </w:r>
    </w:p>
    <w:p w:rsidR="003C2303" w:rsidRPr="004F7CED" w:rsidRDefault="000A5621">
      <w:pPr>
        <w:rPr>
          <w:lang w:val="nb-NO"/>
        </w:rPr>
      </w:pPr>
      <w:r w:rsidRPr="004F7CED">
        <w:rPr>
          <w:rFonts w:ascii="Verdana" w:eastAsia="Verdana" w:hAnsi="Verdana" w:cs="Verdana"/>
          <w:sz w:val="20"/>
          <w:lang w:val="nb-NO"/>
        </w:rPr>
        <w:t>Tømmerforordningens betyd</w:t>
      </w:r>
      <w:r w:rsidR="00C92F07">
        <w:rPr>
          <w:rFonts w:ascii="Verdana" w:eastAsia="Verdana" w:hAnsi="Verdana" w:cs="Verdana"/>
          <w:sz w:val="20"/>
          <w:lang w:val="nb-NO"/>
        </w:rPr>
        <w:t>ning</w:t>
      </w:r>
      <w:r w:rsidRPr="004F7CED">
        <w:rPr>
          <w:rFonts w:ascii="Verdana" w:eastAsia="Verdana" w:hAnsi="Verdana" w:cs="Verdana"/>
          <w:sz w:val="20"/>
          <w:lang w:val="nb-NO"/>
        </w:rPr>
        <w:t xml:space="preserve"> og effekt er avhengig av implementeringen og kontroller på nasjonalt nivå. Dette er en forutsetning for at tømmerforordningen i praksis skal føre til at handelen med ulovlig tømmer reduseres på det europeiske markedet. I den sammenheng hadde Greenpeace og Regnskogfondet forventet at det norske forslaget om forskrifter skulle inneholde flere konkrete føringer for hvordan implementeringen skal skje i praksis. Dette er uklart både i forhold til eksport og import. Vi fokuserer imidlertid på sistnevnte i vårt høringssvar. </w:t>
      </w:r>
    </w:p>
    <w:p w:rsidR="003C2303" w:rsidRPr="004F7CED" w:rsidRDefault="000A5621">
      <w:pPr>
        <w:rPr>
          <w:lang w:val="nb-NO"/>
        </w:rPr>
      </w:pPr>
      <w:r w:rsidRPr="004F7CED">
        <w:rPr>
          <w:rFonts w:ascii="Verdana" w:eastAsia="Verdana" w:hAnsi="Verdana" w:cs="Verdana"/>
          <w:sz w:val="20"/>
          <w:lang w:val="nb-NO"/>
        </w:rPr>
        <w:lastRenderedPageBreak/>
        <w:t xml:space="preserve">Kommentarer til forslaget om forskrifter: </w:t>
      </w:r>
    </w:p>
    <w:p w:rsidR="003C2303" w:rsidRPr="004F7CED" w:rsidRDefault="000A5621">
      <w:pPr>
        <w:numPr>
          <w:ilvl w:val="0"/>
          <w:numId w:val="3"/>
        </w:numPr>
        <w:spacing w:before="100" w:after="100" w:line="240" w:lineRule="auto"/>
        <w:ind w:hanging="359"/>
        <w:rPr>
          <w:lang w:val="nb-NO"/>
        </w:rPr>
      </w:pPr>
      <w:r w:rsidRPr="004F7CED">
        <w:rPr>
          <w:rFonts w:ascii="Verdana" w:eastAsia="Verdana" w:hAnsi="Verdana" w:cs="Verdana"/>
          <w:sz w:val="20"/>
          <w:lang w:val="nb-NO"/>
        </w:rPr>
        <w:t xml:space="preserve">Teksten bør eksplisitt forklare hvordan Norge akter å få på plass klare mandater, ansvarsfordeling, kapasitetsbygging og nødvendige ressurser. Dette er foreløpig uklart i gjeldende forslag om forskrifter. I forhold til importert tømmer er det avgjørende at KLIF får tildelt tilstrekkelige ressurser, både økonomisk og personalmessig. Det er viktig at KLIF har kapasitet til nødvendig kompetansebygging, gjennomføring av kartleggingsarbeid, grundige kontroller og stikkprøver. </w:t>
      </w:r>
    </w:p>
    <w:p w:rsidR="003C2303" w:rsidRPr="004F7CED" w:rsidRDefault="003C2303">
      <w:pPr>
        <w:spacing w:before="100" w:after="100" w:line="240" w:lineRule="auto"/>
        <w:rPr>
          <w:lang w:val="nb-NO"/>
        </w:rPr>
      </w:pPr>
    </w:p>
    <w:p w:rsidR="003C2303" w:rsidRPr="004F7CED" w:rsidRDefault="000A5621">
      <w:pPr>
        <w:numPr>
          <w:ilvl w:val="0"/>
          <w:numId w:val="2"/>
        </w:numPr>
        <w:spacing w:before="100" w:after="0" w:line="240" w:lineRule="auto"/>
        <w:ind w:hanging="359"/>
        <w:rPr>
          <w:lang w:val="nb-NO"/>
        </w:rPr>
      </w:pPr>
      <w:r w:rsidRPr="004F7CED">
        <w:rPr>
          <w:rFonts w:ascii="Verdana" w:eastAsia="Verdana" w:hAnsi="Verdana" w:cs="Verdana"/>
          <w:sz w:val="20"/>
          <w:lang w:val="nb-NO"/>
        </w:rPr>
        <w:t xml:space="preserve">Teksten beskriver ikke hvordan oppfølgingen og kontrollene skal gjennomføres for å forhindre ulovlig virksomhet. KLIF bør få myndighet til å gjennomføre kontroller av både aktsomhetssystemer, virksomheter og forhandlere. Videre bør det tydeliggjøres hvordan KLIF i samarbeid med toll, politi og rettsvesen skal håndheve loven og passe på at regelverket overholdes. Forslaget sier ikke nok om omfanget av arbeidet eller metodene som skal brukes, og det legges heller ikke tydelige føringer for hvordan KLIF skal samarbeide med tollvesen, politi og rettsvesen. </w:t>
      </w:r>
    </w:p>
    <w:p w:rsidR="003C2303" w:rsidRPr="004F7CED" w:rsidRDefault="003C2303">
      <w:pPr>
        <w:spacing w:before="100" w:after="0" w:line="240" w:lineRule="auto"/>
        <w:rPr>
          <w:lang w:val="nb-NO"/>
        </w:rPr>
      </w:pPr>
    </w:p>
    <w:p w:rsidR="003C2303" w:rsidRPr="004F7CED" w:rsidRDefault="000A5621">
      <w:pPr>
        <w:numPr>
          <w:ilvl w:val="0"/>
          <w:numId w:val="1"/>
        </w:numPr>
        <w:spacing w:before="100" w:after="0" w:line="240" w:lineRule="auto"/>
        <w:ind w:hanging="359"/>
        <w:rPr>
          <w:lang w:val="nb-NO"/>
        </w:rPr>
      </w:pPr>
      <w:r w:rsidRPr="004F7CED">
        <w:rPr>
          <w:rFonts w:ascii="Verdana" w:eastAsia="Verdana" w:hAnsi="Verdana" w:cs="Verdana"/>
          <w:sz w:val="20"/>
          <w:lang w:val="nb-NO"/>
        </w:rPr>
        <w:t xml:space="preserve">Vi anbefaler at det settes i gang en </w:t>
      </w:r>
      <w:r w:rsidR="00C92F07">
        <w:rPr>
          <w:rFonts w:ascii="Verdana" w:eastAsia="Verdana" w:hAnsi="Verdana" w:cs="Verdana"/>
          <w:sz w:val="20"/>
          <w:lang w:val="nb-NO"/>
        </w:rPr>
        <w:t xml:space="preserve">bredere </w:t>
      </w:r>
      <w:r w:rsidRPr="004F7CED">
        <w:rPr>
          <w:rFonts w:ascii="Verdana" w:eastAsia="Verdana" w:hAnsi="Verdana" w:cs="Verdana"/>
          <w:sz w:val="20"/>
          <w:lang w:val="nb-NO"/>
        </w:rPr>
        <w:t xml:space="preserve">kartlegging av norsk import av tropisk og borealt tømmer. Det er nødvendig å vite hvor mange norske importører som finnes, hvem de er og hvor de kjøper tømmeret fra for å kunne gjøre en god nok risikovurdering. </w:t>
      </w:r>
      <w:r w:rsidRPr="004F7CED">
        <w:rPr>
          <w:rFonts w:ascii="Verdana" w:eastAsia="Verdana" w:hAnsi="Verdana" w:cs="Verdana"/>
          <w:sz w:val="20"/>
          <w:lang w:val="nb-NO"/>
        </w:rPr>
        <w:br/>
      </w:r>
    </w:p>
    <w:p w:rsidR="003C2303" w:rsidRPr="004F7CED" w:rsidRDefault="000A5621">
      <w:pPr>
        <w:numPr>
          <w:ilvl w:val="0"/>
          <w:numId w:val="1"/>
        </w:numPr>
        <w:spacing w:before="100" w:after="0" w:line="240" w:lineRule="auto"/>
        <w:ind w:hanging="359"/>
        <w:rPr>
          <w:lang w:val="nb-NO"/>
        </w:rPr>
      </w:pPr>
      <w:r w:rsidRPr="004F7CED">
        <w:rPr>
          <w:rFonts w:ascii="Verdana" w:eastAsia="Verdana" w:hAnsi="Verdana" w:cs="Verdana"/>
          <w:sz w:val="20"/>
          <w:lang w:val="nb-NO"/>
        </w:rPr>
        <w:t xml:space="preserve">KLIF bør årlig rapportere offentlig om </w:t>
      </w:r>
      <w:r w:rsidR="00C92F07">
        <w:rPr>
          <w:rFonts w:ascii="Verdana" w:eastAsia="Verdana" w:hAnsi="Verdana" w:cs="Verdana"/>
          <w:sz w:val="20"/>
          <w:lang w:val="nb-NO"/>
        </w:rPr>
        <w:t xml:space="preserve">hvordan de følger opp tømmerforordningen og </w:t>
      </w:r>
      <w:proofErr w:type="spellStart"/>
      <w:r w:rsidR="00C92F07">
        <w:rPr>
          <w:rFonts w:ascii="Verdana" w:eastAsia="Verdana" w:hAnsi="Verdana" w:cs="Verdana"/>
          <w:sz w:val="20"/>
          <w:lang w:val="nb-NO"/>
        </w:rPr>
        <w:t>forskriften</w:t>
      </w:r>
      <w:proofErr w:type="spellEnd"/>
      <w:r w:rsidR="00C92F07">
        <w:rPr>
          <w:rFonts w:ascii="Verdana" w:eastAsia="Verdana" w:hAnsi="Verdana" w:cs="Verdana"/>
          <w:sz w:val="20"/>
          <w:lang w:val="nb-NO"/>
        </w:rPr>
        <w:t xml:space="preserve">, bla. ved å redegjøre for </w:t>
      </w:r>
      <w:r w:rsidRPr="004F7CED">
        <w:rPr>
          <w:rFonts w:ascii="Verdana" w:eastAsia="Verdana" w:hAnsi="Verdana" w:cs="Verdana"/>
          <w:sz w:val="20"/>
          <w:lang w:val="nb-NO"/>
        </w:rPr>
        <w:t xml:space="preserve">arbeidsmetoder, omfanget og resultatene </w:t>
      </w:r>
      <w:r w:rsidR="00C92F07">
        <w:rPr>
          <w:rFonts w:ascii="Verdana" w:eastAsia="Verdana" w:hAnsi="Verdana" w:cs="Verdana"/>
          <w:sz w:val="20"/>
          <w:lang w:val="nb-NO"/>
        </w:rPr>
        <w:t>av</w:t>
      </w:r>
      <w:r w:rsidR="00C92F07" w:rsidRPr="004F7CED">
        <w:rPr>
          <w:rFonts w:ascii="Verdana" w:eastAsia="Verdana" w:hAnsi="Verdana" w:cs="Verdana"/>
          <w:sz w:val="20"/>
          <w:lang w:val="nb-NO"/>
        </w:rPr>
        <w:t xml:space="preserve"> </w:t>
      </w:r>
      <w:r w:rsidRPr="004F7CED">
        <w:rPr>
          <w:rFonts w:ascii="Verdana" w:eastAsia="Verdana" w:hAnsi="Verdana" w:cs="Verdana"/>
          <w:sz w:val="20"/>
          <w:lang w:val="nb-NO"/>
        </w:rPr>
        <w:t xml:space="preserve">sine kontroller. </w:t>
      </w:r>
      <w:r w:rsidRPr="004F7CED">
        <w:rPr>
          <w:rFonts w:ascii="Verdana" w:eastAsia="Verdana" w:hAnsi="Verdana" w:cs="Verdana"/>
          <w:sz w:val="20"/>
          <w:lang w:val="nb-NO"/>
        </w:rPr>
        <w:br/>
      </w:r>
    </w:p>
    <w:p w:rsidR="003C2303" w:rsidRPr="004F7CED" w:rsidRDefault="000A5621">
      <w:pPr>
        <w:numPr>
          <w:ilvl w:val="0"/>
          <w:numId w:val="1"/>
        </w:numPr>
        <w:spacing w:before="100" w:after="0" w:line="240" w:lineRule="auto"/>
        <w:ind w:hanging="359"/>
        <w:rPr>
          <w:lang w:val="nb-NO"/>
        </w:rPr>
      </w:pPr>
      <w:r w:rsidRPr="004F7CED">
        <w:rPr>
          <w:rFonts w:ascii="Verdana" w:eastAsia="Verdana" w:hAnsi="Verdana" w:cs="Verdana"/>
          <w:sz w:val="20"/>
          <w:lang w:val="nb-NO"/>
        </w:rPr>
        <w:t xml:space="preserve">Vi foreslår også at KLIF får ansvar for å etablere en varslingsmekanisme, slik at organisasjoner, bedrifter og andre sivilsamfunnsaktører får muligheten til å levere bekymringsmeldinger og bevis på </w:t>
      </w:r>
      <w:r w:rsidRPr="006F2659">
        <w:rPr>
          <w:rFonts w:ascii="Verdana" w:eastAsia="Verdana" w:hAnsi="Verdana" w:cs="Verdana"/>
          <w:sz w:val="20"/>
          <w:lang w:val="nb-NO"/>
        </w:rPr>
        <w:t>lovbrudd.</w:t>
      </w:r>
      <w:r w:rsidRPr="004F7CED">
        <w:rPr>
          <w:rFonts w:ascii="Verdana" w:eastAsia="Verdana" w:hAnsi="Verdana" w:cs="Verdana"/>
          <w:sz w:val="20"/>
          <w:lang w:val="nb-NO"/>
        </w:rPr>
        <w:br/>
      </w:r>
    </w:p>
    <w:p w:rsidR="003C2303" w:rsidRPr="006F2659" w:rsidRDefault="000A5621">
      <w:pPr>
        <w:numPr>
          <w:ilvl w:val="0"/>
          <w:numId w:val="1"/>
        </w:numPr>
        <w:spacing w:before="100" w:after="0" w:line="240" w:lineRule="auto"/>
        <w:ind w:hanging="359"/>
        <w:rPr>
          <w:lang w:val="nb-NO"/>
        </w:rPr>
      </w:pPr>
      <w:r w:rsidRPr="004F7CED">
        <w:rPr>
          <w:rFonts w:ascii="Verdana" w:eastAsia="Verdana" w:hAnsi="Verdana" w:cs="Verdana"/>
          <w:sz w:val="20"/>
          <w:lang w:val="nb-NO"/>
        </w:rPr>
        <w:t xml:space="preserve">Straffenivået bør settes høyt for forhindre lovbrudd og for å reflektere at ulovlig hogst  medfører alvorlige miljøødeleggelser, sosiale utfordringer og økonomiske tap for offentlige myndigheter og privat næringsliv. </w:t>
      </w:r>
      <w:r w:rsidRPr="006F2659">
        <w:rPr>
          <w:rFonts w:ascii="Verdana" w:eastAsia="Verdana" w:hAnsi="Verdana" w:cs="Verdana"/>
          <w:sz w:val="20"/>
          <w:lang w:val="nb-NO"/>
        </w:rPr>
        <w:t>Videre bør teksten legge føringer for nivået på bøtene.</w:t>
      </w:r>
      <w:r w:rsidRPr="006F2659">
        <w:rPr>
          <w:rFonts w:ascii="Verdana" w:eastAsia="Verdana" w:hAnsi="Verdana" w:cs="Verdana"/>
          <w:sz w:val="20"/>
          <w:lang w:val="nb-NO"/>
        </w:rPr>
        <w:br/>
      </w:r>
    </w:p>
    <w:p w:rsidR="003C2303" w:rsidRPr="00533E18" w:rsidRDefault="000A5621">
      <w:pPr>
        <w:numPr>
          <w:ilvl w:val="0"/>
          <w:numId w:val="1"/>
        </w:numPr>
        <w:spacing w:before="100" w:after="0" w:line="240" w:lineRule="auto"/>
        <w:ind w:hanging="359"/>
        <w:rPr>
          <w:lang w:val="nb-NO"/>
        </w:rPr>
      </w:pPr>
      <w:r w:rsidRPr="004F7CED">
        <w:rPr>
          <w:rFonts w:ascii="Verdana" w:eastAsia="Verdana" w:hAnsi="Verdana" w:cs="Verdana"/>
          <w:sz w:val="20"/>
          <w:lang w:val="nb-NO"/>
        </w:rPr>
        <w:t xml:space="preserve">I forslaget (2.3) skriver Miljøverndepartementet at det per i dag ikke finnes noen forskrift som kan fange opp alle elementene i forordningen og at det er behov for to nye forskrifter;  en med hjemmel i </w:t>
      </w:r>
      <w:proofErr w:type="spellStart"/>
      <w:r w:rsidRPr="004F7CED">
        <w:rPr>
          <w:rFonts w:ascii="Verdana" w:eastAsia="Verdana" w:hAnsi="Verdana" w:cs="Verdana"/>
          <w:sz w:val="20"/>
          <w:lang w:val="nb-NO"/>
        </w:rPr>
        <w:t>skogbrukloven</w:t>
      </w:r>
      <w:proofErr w:type="spellEnd"/>
      <w:r w:rsidRPr="004F7CED">
        <w:rPr>
          <w:rFonts w:ascii="Verdana" w:eastAsia="Verdana" w:hAnsi="Verdana" w:cs="Verdana"/>
          <w:sz w:val="20"/>
          <w:lang w:val="nb-NO"/>
        </w:rPr>
        <w:t xml:space="preserve"> og en med hjemmel i naturmangfoldloven. Forordningen trer i kraft 3.mars 2013, og vi ber derfor om at forskriftene utarbeides så raskt som mulig. </w:t>
      </w:r>
    </w:p>
    <w:p w:rsidR="003C2303" w:rsidRPr="004F7CED" w:rsidRDefault="000A5621">
      <w:pPr>
        <w:spacing w:after="0" w:line="240" w:lineRule="auto"/>
        <w:rPr>
          <w:lang w:val="nb-NO"/>
        </w:rPr>
      </w:pPr>
      <w:r w:rsidRPr="004F7CED">
        <w:rPr>
          <w:rFonts w:ascii="Verdana" w:eastAsia="Verdana" w:hAnsi="Verdana" w:cs="Verdana"/>
          <w:sz w:val="20"/>
          <w:lang w:val="nb-NO"/>
        </w:rPr>
        <w:br/>
        <w:t xml:space="preserve">Norske myndigheter, bedrifter og andre aktører må settes i stand til å oppfylle kravene i tømmerforordningen. Norge bør derfor be EU-kommisjonen om klare retningslinjer og veiledninger for aktsomhetssystemer og oppfølgingsorganisasjoner. Norske importører har behov for detaljert informasjon om prosedyrer for innhenting og lagring av informasjon, risikovurdering og risikominimerende tiltak. Dette gjelder ikke minst veiledning om hvordan man bør gå fram for å sette seg inn i gjeldende lovgivning i eksportland knyttet til hogstrettigheter, landrettigheter, bevaring av </w:t>
      </w:r>
      <w:proofErr w:type="spellStart"/>
      <w:r w:rsidRPr="004F7CED">
        <w:rPr>
          <w:rFonts w:ascii="Verdana" w:eastAsia="Verdana" w:hAnsi="Verdana" w:cs="Verdana"/>
          <w:sz w:val="20"/>
          <w:lang w:val="nb-NO"/>
        </w:rPr>
        <w:t>biomangfold</w:t>
      </w:r>
      <w:proofErr w:type="spellEnd"/>
      <w:r w:rsidRPr="004F7CED">
        <w:rPr>
          <w:rFonts w:ascii="Verdana" w:eastAsia="Verdana" w:hAnsi="Verdana" w:cs="Verdana"/>
          <w:sz w:val="20"/>
          <w:lang w:val="nb-NO"/>
        </w:rPr>
        <w:t xml:space="preserve"> osv. </w:t>
      </w:r>
      <w:r w:rsidRPr="006F2659">
        <w:rPr>
          <w:rFonts w:ascii="Verdana" w:eastAsia="Verdana" w:hAnsi="Verdana" w:cs="Verdana"/>
          <w:sz w:val="20"/>
          <w:lang w:val="nb-NO"/>
        </w:rPr>
        <w:t xml:space="preserve">(artikkel 2 h). </w:t>
      </w:r>
      <w:r w:rsidRPr="004F7CED">
        <w:rPr>
          <w:rFonts w:ascii="Verdana" w:eastAsia="Verdana" w:hAnsi="Verdana" w:cs="Verdana"/>
          <w:sz w:val="20"/>
          <w:lang w:val="nb-NO"/>
        </w:rPr>
        <w:t xml:space="preserve">Uten </w:t>
      </w:r>
      <w:r w:rsidRPr="004F7CED">
        <w:rPr>
          <w:rFonts w:ascii="Verdana" w:eastAsia="Verdana" w:hAnsi="Verdana" w:cs="Verdana"/>
          <w:sz w:val="20"/>
          <w:lang w:val="nb-NO"/>
        </w:rPr>
        <w:lastRenderedPageBreak/>
        <w:t xml:space="preserve">tilstrekkelig veiledning er det vanskelig å tolke og oppfylle kravene i forordningen.  </w:t>
      </w:r>
      <w:r w:rsidRPr="004F7CED">
        <w:rPr>
          <w:rFonts w:ascii="Verdana" w:eastAsia="Verdana" w:hAnsi="Verdana" w:cs="Verdana"/>
          <w:sz w:val="20"/>
          <w:lang w:val="nb-NO"/>
        </w:rPr>
        <w:br/>
      </w:r>
    </w:p>
    <w:p w:rsidR="003C2303" w:rsidRPr="004F7CED" w:rsidRDefault="000A5621">
      <w:pPr>
        <w:spacing w:after="0" w:line="240" w:lineRule="auto"/>
        <w:rPr>
          <w:lang w:val="nb-NO"/>
        </w:rPr>
      </w:pPr>
      <w:r w:rsidRPr="004F7CED">
        <w:rPr>
          <w:rFonts w:ascii="Verdana" w:eastAsia="Verdana" w:hAnsi="Verdana" w:cs="Verdana"/>
          <w:sz w:val="20"/>
          <w:lang w:val="nb-NO"/>
        </w:rPr>
        <w:t>Regnskogfondet og Greenpeace støtter forslaget, men understreker at det er avgjørende for implementeringen at ekstra ressurser tilføres ansvarlige myndigheter. For at tømmerforordningen skal få nødvendig effekt kreves et omfattende tilsyns- og informasjonsarbeid.</w:t>
      </w:r>
      <w:r w:rsidRPr="004F7CED">
        <w:rPr>
          <w:rFonts w:ascii="Verdana" w:eastAsia="Verdana" w:hAnsi="Verdana" w:cs="Verdana"/>
          <w:sz w:val="20"/>
          <w:lang w:val="nb-NO"/>
        </w:rPr>
        <w:br/>
      </w:r>
    </w:p>
    <w:p w:rsidR="003C2303" w:rsidRPr="004F7CED" w:rsidRDefault="000A5621">
      <w:pPr>
        <w:rPr>
          <w:lang w:val="nb-NO"/>
        </w:rPr>
      </w:pPr>
      <w:r w:rsidRPr="004F7CED">
        <w:rPr>
          <w:rFonts w:ascii="Verdana" w:eastAsia="Verdana" w:hAnsi="Verdana" w:cs="Verdana"/>
          <w:sz w:val="20"/>
          <w:highlight w:val="white"/>
          <w:lang w:val="nb-NO"/>
        </w:rPr>
        <w:t xml:space="preserve">Dette høringssvaret er utarbeidet av Erika </w:t>
      </w:r>
      <w:proofErr w:type="spellStart"/>
      <w:r w:rsidRPr="004F7CED">
        <w:rPr>
          <w:rFonts w:ascii="Verdana" w:eastAsia="Verdana" w:hAnsi="Verdana" w:cs="Verdana"/>
          <w:sz w:val="20"/>
          <w:highlight w:val="white"/>
          <w:lang w:val="nb-NO"/>
        </w:rPr>
        <w:t>Bjureby</w:t>
      </w:r>
      <w:proofErr w:type="spellEnd"/>
      <w:r w:rsidRPr="004F7CED">
        <w:rPr>
          <w:rFonts w:ascii="Verdana" w:eastAsia="Verdana" w:hAnsi="Verdana" w:cs="Verdana"/>
          <w:sz w:val="20"/>
          <w:highlight w:val="white"/>
          <w:lang w:val="nb-NO"/>
        </w:rPr>
        <w:t xml:space="preserve"> fra </w:t>
      </w:r>
      <w:proofErr w:type="spellStart"/>
      <w:r w:rsidRPr="004F7CED">
        <w:rPr>
          <w:rFonts w:ascii="Verdana" w:eastAsia="Verdana" w:hAnsi="Verdana" w:cs="Verdana"/>
          <w:sz w:val="20"/>
          <w:highlight w:val="white"/>
          <w:lang w:val="nb-NO"/>
        </w:rPr>
        <w:t>Greenpace</w:t>
      </w:r>
      <w:proofErr w:type="spellEnd"/>
      <w:r w:rsidRPr="004F7CED">
        <w:rPr>
          <w:rFonts w:ascii="Verdana" w:eastAsia="Verdana" w:hAnsi="Verdana" w:cs="Verdana"/>
          <w:sz w:val="20"/>
          <w:highlight w:val="white"/>
          <w:lang w:val="nb-NO"/>
        </w:rPr>
        <w:t xml:space="preserve">, og Nils Hermann Ranum og Anja Lyngsmark fra Regnskogfondet.  </w:t>
      </w:r>
      <w:r w:rsidRPr="004F7CED">
        <w:rPr>
          <w:rFonts w:ascii="Verdana" w:eastAsia="Verdana" w:hAnsi="Verdana" w:cs="Verdana"/>
          <w:sz w:val="20"/>
          <w:lang w:val="nb-NO"/>
        </w:rPr>
        <w:br/>
      </w:r>
      <w:r w:rsidRPr="004F7CED">
        <w:rPr>
          <w:rFonts w:ascii="Verdana" w:eastAsia="Verdana" w:hAnsi="Verdana" w:cs="Verdana"/>
          <w:sz w:val="20"/>
          <w:lang w:val="nb-NO"/>
        </w:rPr>
        <w:br/>
      </w:r>
      <w:r w:rsidRPr="004F7CED">
        <w:rPr>
          <w:rFonts w:ascii="Verdana" w:eastAsia="Verdana" w:hAnsi="Verdana" w:cs="Verdana"/>
          <w:sz w:val="20"/>
          <w:highlight w:val="white"/>
          <w:lang w:val="nb-NO"/>
        </w:rPr>
        <w:t>Nils Hermann Ranum</w:t>
      </w:r>
      <w:r w:rsidRPr="004F7CED">
        <w:rPr>
          <w:rFonts w:ascii="Verdana" w:eastAsia="Verdana" w:hAnsi="Verdana" w:cs="Verdana"/>
          <w:b/>
          <w:sz w:val="20"/>
          <w:highlight w:val="white"/>
          <w:lang w:val="nb-NO"/>
        </w:rPr>
        <w:t xml:space="preserve">, </w:t>
      </w:r>
      <w:r w:rsidRPr="004F7CED">
        <w:rPr>
          <w:rFonts w:ascii="Verdana" w:eastAsia="Verdana" w:hAnsi="Verdana" w:cs="Verdana"/>
          <w:sz w:val="20"/>
          <w:highlight w:val="white"/>
          <w:lang w:val="nb-NO"/>
        </w:rPr>
        <w:t xml:space="preserve">Regnskogfondet Tlf.  (+47) 23 10 95 04, </w:t>
      </w:r>
      <w:proofErr w:type="spellStart"/>
      <w:r w:rsidRPr="004F7CED">
        <w:rPr>
          <w:rFonts w:ascii="Verdana" w:eastAsia="Verdana" w:hAnsi="Verdana" w:cs="Verdana"/>
          <w:sz w:val="20"/>
          <w:highlight w:val="white"/>
          <w:lang w:val="nb-NO"/>
        </w:rPr>
        <w:t>Mob</w:t>
      </w:r>
      <w:proofErr w:type="spellEnd"/>
      <w:r w:rsidRPr="004F7CED">
        <w:rPr>
          <w:rFonts w:ascii="Verdana" w:eastAsia="Verdana" w:hAnsi="Verdana" w:cs="Verdana"/>
          <w:sz w:val="20"/>
          <w:highlight w:val="white"/>
          <w:lang w:val="nb-NO"/>
        </w:rPr>
        <w:t xml:space="preserve">. (+47) 990 01 032, </w:t>
      </w:r>
      <w:hyperlink r:id="rId8">
        <w:r w:rsidRPr="004F7CED">
          <w:rPr>
            <w:rFonts w:ascii="Verdana" w:eastAsia="Verdana" w:hAnsi="Verdana" w:cs="Verdana"/>
            <w:sz w:val="20"/>
            <w:highlight w:val="white"/>
            <w:u w:val="single"/>
            <w:lang w:val="nb-NO"/>
          </w:rPr>
          <w:t>nils.hermann@regnskog.no</w:t>
        </w:r>
      </w:hyperlink>
      <w:r w:rsidRPr="004F7CED">
        <w:rPr>
          <w:rFonts w:ascii="Verdana" w:eastAsia="Verdana" w:hAnsi="Verdana" w:cs="Verdana"/>
          <w:sz w:val="20"/>
          <w:lang w:val="nb-NO"/>
        </w:rPr>
        <w:br/>
      </w:r>
      <w:r w:rsidRPr="004F7CED">
        <w:rPr>
          <w:rFonts w:ascii="Verdana" w:eastAsia="Verdana" w:hAnsi="Verdana" w:cs="Verdana"/>
          <w:sz w:val="20"/>
          <w:lang w:val="nb-NO"/>
        </w:rPr>
        <w:br/>
      </w:r>
      <w:r w:rsidRPr="004F7CED">
        <w:rPr>
          <w:rFonts w:ascii="Verdana" w:eastAsia="Verdana" w:hAnsi="Verdana" w:cs="Verdana"/>
          <w:sz w:val="20"/>
          <w:highlight w:val="white"/>
          <w:lang w:val="nb-NO"/>
        </w:rPr>
        <w:t xml:space="preserve">Anja Lyngsmark, Regnskogfondet Tlf. </w:t>
      </w:r>
      <w:r>
        <w:rPr>
          <w:rFonts w:ascii="Verdana" w:eastAsia="Verdana" w:hAnsi="Verdana" w:cs="Verdana"/>
          <w:sz w:val="20"/>
          <w:highlight w:val="white"/>
        </w:rPr>
        <w:t xml:space="preserve">(+47) 23 10 95 21, Mob. (+47) 950 22 536, </w:t>
      </w:r>
      <w:hyperlink r:id="rId9">
        <w:r>
          <w:rPr>
            <w:rFonts w:ascii="Verdana" w:eastAsia="Verdana" w:hAnsi="Verdana" w:cs="Verdana"/>
            <w:sz w:val="20"/>
            <w:highlight w:val="white"/>
            <w:u w:val="single"/>
          </w:rPr>
          <w:t>anja.lyngsmark@regnskog.no</w:t>
        </w:r>
      </w:hyperlink>
      <w:r>
        <w:rPr>
          <w:rFonts w:ascii="Verdana" w:eastAsia="Verdana" w:hAnsi="Verdana" w:cs="Verdana"/>
          <w:sz w:val="20"/>
          <w:highlight w:val="white"/>
        </w:rPr>
        <w:t xml:space="preserve"> </w:t>
      </w:r>
      <w:r>
        <w:rPr>
          <w:rFonts w:ascii="Verdana" w:eastAsia="Verdana" w:hAnsi="Verdana" w:cs="Verdana"/>
          <w:sz w:val="20"/>
        </w:rPr>
        <w:br/>
      </w:r>
      <w:r>
        <w:rPr>
          <w:rFonts w:ascii="Verdana" w:eastAsia="Verdana" w:hAnsi="Verdana" w:cs="Verdana"/>
          <w:sz w:val="20"/>
        </w:rPr>
        <w:br/>
        <w:t xml:space="preserve">Dr. </w:t>
      </w:r>
      <w:r>
        <w:rPr>
          <w:rFonts w:ascii="Verdana" w:eastAsia="Verdana" w:hAnsi="Verdana" w:cs="Verdana"/>
          <w:sz w:val="20"/>
          <w:highlight w:val="white"/>
        </w:rPr>
        <w:t>Erik</w:t>
      </w:r>
      <w:r w:rsidR="006F2659">
        <w:rPr>
          <w:rFonts w:ascii="Verdana" w:eastAsia="Verdana" w:hAnsi="Verdana" w:cs="Verdana"/>
          <w:sz w:val="20"/>
          <w:highlight w:val="white"/>
        </w:rPr>
        <w:t xml:space="preserve">a </w:t>
      </w:r>
      <w:proofErr w:type="spellStart"/>
      <w:r w:rsidR="006F2659">
        <w:rPr>
          <w:rFonts w:ascii="Verdana" w:eastAsia="Verdana" w:hAnsi="Verdana" w:cs="Verdana"/>
          <w:sz w:val="20"/>
          <w:highlight w:val="white"/>
        </w:rPr>
        <w:t>Bjureby</w:t>
      </w:r>
      <w:proofErr w:type="spellEnd"/>
      <w:r w:rsidR="006F2659">
        <w:rPr>
          <w:rFonts w:ascii="Verdana" w:eastAsia="Verdana" w:hAnsi="Verdana" w:cs="Verdana"/>
          <w:sz w:val="20"/>
          <w:highlight w:val="white"/>
        </w:rPr>
        <w:t xml:space="preserve">, Greenpeace Nordic, </w:t>
      </w:r>
      <w:proofErr w:type="spellStart"/>
      <w:r w:rsidR="006F2659">
        <w:rPr>
          <w:rFonts w:ascii="Verdana" w:eastAsia="Verdana" w:hAnsi="Verdana" w:cs="Verdana"/>
          <w:sz w:val="20"/>
          <w:highlight w:val="white"/>
        </w:rPr>
        <w:t>T</w:t>
      </w:r>
      <w:r>
        <w:rPr>
          <w:rFonts w:ascii="Verdana" w:eastAsia="Verdana" w:hAnsi="Verdana" w:cs="Verdana"/>
          <w:sz w:val="20"/>
          <w:highlight w:val="white"/>
        </w:rPr>
        <w:t>l</w:t>
      </w:r>
      <w:r w:rsidR="006F2659">
        <w:rPr>
          <w:rFonts w:ascii="Verdana" w:eastAsia="Verdana" w:hAnsi="Verdana" w:cs="Verdana"/>
          <w:sz w:val="20"/>
          <w:highlight w:val="white"/>
        </w:rPr>
        <w:t>f</w:t>
      </w:r>
      <w:proofErr w:type="spellEnd"/>
      <w:r>
        <w:rPr>
          <w:rFonts w:ascii="Verdana" w:eastAsia="Verdana" w:hAnsi="Verdana" w:cs="Verdana"/>
          <w:sz w:val="20"/>
          <w:highlight w:val="white"/>
        </w:rPr>
        <w:t xml:space="preserve">: (+47) 22205101, Mob. </w:t>
      </w:r>
      <w:r w:rsidRPr="004F7CED">
        <w:rPr>
          <w:rFonts w:ascii="Verdana" w:eastAsia="Verdana" w:hAnsi="Verdana" w:cs="Verdana"/>
          <w:sz w:val="20"/>
          <w:highlight w:val="white"/>
          <w:lang w:val="nb-NO"/>
        </w:rPr>
        <w:t>(+47) 478</w:t>
      </w:r>
      <w:r w:rsidR="005E7017">
        <w:rPr>
          <w:rFonts w:ascii="Verdana" w:eastAsia="Verdana" w:hAnsi="Verdana" w:cs="Verdana"/>
          <w:sz w:val="20"/>
          <w:highlight w:val="white"/>
          <w:lang w:val="nb-NO"/>
        </w:rPr>
        <w:t xml:space="preserve"> </w:t>
      </w:r>
      <w:r w:rsidRPr="004F7CED">
        <w:rPr>
          <w:rFonts w:ascii="Verdana" w:eastAsia="Verdana" w:hAnsi="Verdana" w:cs="Verdana"/>
          <w:sz w:val="20"/>
          <w:highlight w:val="white"/>
          <w:lang w:val="nb-NO"/>
        </w:rPr>
        <w:t>23</w:t>
      </w:r>
      <w:r w:rsidR="005E7017">
        <w:rPr>
          <w:rFonts w:ascii="Verdana" w:eastAsia="Verdana" w:hAnsi="Verdana" w:cs="Verdana"/>
          <w:sz w:val="20"/>
          <w:highlight w:val="white"/>
          <w:lang w:val="nb-NO"/>
        </w:rPr>
        <w:t xml:space="preserve"> </w:t>
      </w:r>
      <w:r w:rsidRPr="004F7CED">
        <w:rPr>
          <w:rFonts w:ascii="Verdana" w:eastAsia="Verdana" w:hAnsi="Verdana" w:cs="Verdana"/>
          <w:sz w:val="20"/>
          <w:highlight w:val="white"/>
          <w:lang w:val="nb-NO"/>
        </w:rPr>
        <w:t xml:space="preserve">154, </w:t>
      </w:r>
      <w:hyperlink r:id="rId10">
        <w:r w:rsidRPr="004F7CED">
          <w:rPr>
            <w:rFonts w:ascii="Verdana" w:eastAsia="Verdana" w:hAnsi="Verdana" w:cs="Verdana"/>
            <w:sz w:val="20"/>
            <w:highlight w:val="white"/>
            <w:u w:val="single"/>
            <w:lang w:val="nb-NO"/>
          </w:rPr>
          <w:t>erika.bjureby@greenpeace.org</w:t>
        </w:r>
      </w:hyperlink>
      <w:r w:rsidRPr="004F7CED">
        <w:rPr>
          <w:rFonts w:ascii="Verdana" w:eastAsia="Verdana" w:hAnsi="Verdana" w:cs="Verdana"/>
          <w:sz w:val="20"/>
          <w:highlight w:val="white"/>
          <w:lang w:val="nb-NO"/>
        </w:rPr>
        <w:t xml:space="preserve"> </w:t>
      </w:r>
      <w:r w:rsidRPr="004F7CED">
        <w:rPr>
          <w:rFonts w:ascii="Verdana" w:eastAsia="Verdana" w:hAnsi="Verdana" w:cs="Verdana"/>
          <w:sz w:val="20"/>
          <w:lang w:val="nb-NO"/>
        </w:rPr>
        <w:br/>
      </w:r>
      <w:r w:rsidRPr="004F7CED">
        <w:rPr>
          <w:rFonts w:ascii="Verdana" w:eastAsia="Verdana" w:hAnsi="Verdana" w:cs="Verdana"/>
          <w:sz w:val="20"/>
          <w:lang w:val="nb-NO"/>
        </w:rPr>
        <w:br/>
      </w:r>
      <w:r w:rsidRPr="004F7CED">
        <w:rPr>
          <w:rFonts w:ascii="Verdana" w:eastAsia="Verdana" w:hAnsi="Verdana" w:cs="Verdana"/>
          <w:sz w:val="20"/>
          <w:lang w:val="nb-NO"/>
        </w:rPr>
        <w:br/>
        <w:t>For Greenpeace</w:t>
      </w:r>
      <w:r w:rsidRPr="004F7CED">
        <w:rPr>
          <w:rFonts w:ascii="Verdana" w:eastAsia="Verdana" w:hAnsi="Verdana" w:cs="Verdana"/>
          <w:sz w:val="20"/>
          <w:lang w:val="nb-NO"/>
        </w:rPr>
        <w:tab/>
      </w:r>
      <w:r w:rsidRPr="004F7CED">
        <w:rPr>
          <w:rFonts w:ascii="Verdana" w:eastAsia="Verdana" w:hAnsi="Verdana" w:cs="Verdana"/>
          <w:sz w:val="20"/>
          <w:lang w:val="nb-NO"/>
        </w:rPr>
        <w:tab/>
      </w:r>
      <w:r w:rsidRPr="004F7CED">
        <w:rPr>
          <w:rFonts w:ascii="Verdana" w:eastAsia="Verdana" w:hAnsi="Verdana" w:cs="Verdana"/>
          <w:sz w:val="20"/>
          <w:lang w:val="nb-NO"/>
        </w:rPr>
        <w:tab/>
      </w:r>
      <w:r w:rsidRPr="004F7CED">
        <w:rPr>
          <w:rFonts w:ascii="Verdana" w:eastAsia="Verdana" w:hAnsi="Verdana" w:cs="Verdana"/>
          <w:sz w:val="20"/>
          <w:lang w:val="nb-NO"/>
        </w:rPr>
        <w:tab/>
      </w:r>
      <w:r w:rsidRPr="004F7CED">
        <w:rPr>
          <w:rFonts w:ascii="Verdana" w:eastAsia="Verdana" w:hAnsi="Verdana" w:cs="Verdana"/>
          <w:sz w:val="20"/>
          <w:lang w:val="nb-NO"/>
        </w:rPr>
        <w:tab/>
      </w:r>
      <w:r w:rsidRPr="004F7CED">
        <w:rPr>
          <w:rFonts w:ascii="Verdana" w:eastAsia="Verdana" w:hAnsi="Verdana" w:cs="Verdana"/>
          <w:sz w:val="20"/>
          <w:lang w:val="nb-NO"/>
        </w:rPr>
        <w:tab/>
        <w:t>For Regnskogfondet</w:t>
      </w:r>
    </w:p>
    <w:p w:rsidR="003C2303" w:rsidRPr="004F7CED" w:rsidRDefault="005E7017">
      <w:pPr>
        <w:rPr>
          <w:lang w:val="nb-NO"/>
        </w:rPr>
      </w:pPr>
      <w:r>
        <w:rPr>
          <w:rFonts w:ascii="Verdana" w:eastAsia="Verdana" w:hAnsi="Verdana" w:cs="Verdana"/>
          <w:noProof/>
          <w:sz w:val="20"/>
          <w:lang w:val="nb-NO"/>
        </w:rPr>
        <w:drawing>
          <wp:inline distT="0" distB="0" distL="0" distR="0" wp14:anchorId="3DB20D3C" wp14:editId="72B28FE2">
            <wp:extent cx="1562100" cy="5048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pic:spPr>
                </pic:pic>
              </a:graphicData>
            </a:graphic>
          </wp:inline>
        </w:drawing>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Pr>
          <w:noProof/>
          <w:lang w:val="nb-NO"/>
        </w:rPr>
        <w:drawing>
          <wp:inline distT="0" distB="0" distL="0" distR="0" wp14:anchorId="4F44BB83" wp14:editId="1ADA6F4D">
            <wp:extent cx="1494790" cy="652145"/>
            <wp:effectExtent l="0" t="0" r="0" b="0"/>
            <wp:docPr id="1" name="Bilde 1" descr="..\..\..\..\..\NHR\signaturnhr.jpg"/>
            <wp:cNvGraphicFramePr/>
            <a:graphic xmlns:a="http://schemas.openxmlformats.org/drawingml/2006/main">
              <a:graphicData uri="http://schemas.openxmlformats.org/drawingml/2006/picture">
                <pic:pic xmlns:pic="http://schemas.openxmlformats.org/drawingml/2006/picture">
                  <pic:nvPicPr>
                    <pic:cNvPr id="1" name="Bilde 1" descr="..\..\..\..\..\NHR\signaturnh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790" cy="652145"/>
                    </a:xfrm>
                    <a:prstGeom prst="rect">
                      <a:avLst/>
                    </a:prstGeom>
                    <a:noFill/>
                    <a:ln>
                      <a:noFill/>
                    </a:ln>
                  </pic:spPr>
                </pic:pic>
              </a:graphicData>
            </a:graphic>
          </wp:inline>
        </w:drawing>
      </w:r>
      <w:r>
        <w:rPr>
          <w:rFonts w:ascii="Verdana" w:eastAsia="Verdana" w:hAnsi="Verdana" w:cs="Verdana"/>
          <w:sz w:val="20"/>
          <w:lang w:val="nb-NO"/>
        </w:rPr>
        <w:tab/>
        <w:t xml:space="preserve">       </w:t>
      </w:r>
      <w:r w:rsidR="000A5621" w:rsidRPr="004F7CED">
        <w:rPr>
          <w:rFonts w:ascii="Verdana" w:eastAsia="Verdana" w:hAnsi="Verdana" w:cs="Verdana"/>
          <w:sz w:val="20"/>
          <w:lang w:val="nb-NO"/>
        </w:rPr>
        <w:t>Dr. Erika Bjureby</w:t>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t>Nils Hermann Ranum</w:t>
      </w:r>
      <w:r w:rsidR="000A5621" w:rsidRPr="004F7CED">
        <w:rPr>
          <w:rFonts w:ascii="Verdana" w:eastAsia="Verdana" w:hAnsi="Verdana" w:cs="Verdana"/>
          <w:sz w:val="20"/>
          <w:lang w:val="nb-NO"/>
        </w:rPr>
        <w:br/>
      </w:r>
      <w:r w:rsidR="000A5621" w:rsidRPr="006F2659">
        <w:rPr>
          <w:rFonts w:ascii="Verdana" w:eastAsia="Verdana" w:hAnsi="Verdana" w:cs="Verdana"/>
          <w:color w:val="auto"/>
          <w:sz w:val="20"/>
          <w:lang w:val="nb-NO"/>
        </w:rPr>
        <w:t>Internasjonal policyrådgiver</w:t>
      </w:r>
      <w:r w:rsidR="000A5621" w:rsidRPr="006F2659">
        <w:rPr>
          <w:rFonts w:ascii="Verdana" w:eastAsia="Verdana" w:hAnsi="Verdana" w:cs="Verdana"/>
          <w:color w:val="auto"/>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r>
      <w:r w:rsidR="000A5621" w:rsidRPr="004F7CED">
        <w:rPr>
          <w:rFonts w:ascii="Verdana" w:eastAsia="Verdana" w:hAnsi="Verdana" w:cs="Verdana"/>
          <w:sz w:val="20"/>
          <w:lang w:val="nb-NO"/>
        </w:rPr>
        <w:tab/>
        <w:t>Avdelingsleder</w:t>
      </w:r>
    </w:p>
    <w:p w:rsidR="003C2303" w:rsidRPr="004F7CED" w:rsidRDefault="003C2303">
      <w:pPr>
        <w:rPr>
          <w:lang w:val="nb-NO"/>
        </w:rPr>
      </w:pPr>
    </w:p>
    <w:p w:rsidR="003C2303" w:rsidRPr="004F7CED" w:rsidRDefault="003C2303">
      <w:pPr>
        <w:rPr>
          <w:lang w:val="nb-NO"/>
        </w:rPr>
      </w:pPr>
    </w:p>
    <w:sectPr w:rsidR="003C2303" w:rsidRPr="004F7C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77" w:rsidRDefault="008C1977" w:rsidP="008C1977">
      <w:pPr>
        <w:spacing w:after="0" w:line="240" w:lineRule="auto"/>
      </w:pPr>
      <w:r>
        <w:separator/>
      </w:r>
    </w:p>
  </w:endnote>
  <w:endnote w:type="continuationSeparator" w:id="0">
    <w:p w:rsidR="008C1977" w:rsidRDefault="008C1977" w:rsidP="008C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77" w:rsidRDefault="008C1977" w:rsidP="008C1977">
      <w:pPr>
        <w:spacing w:after="0" w:line="240" w:lineRule="auto"/>
      </w:pPr>
      <w:r>
        <w:separator/>
      </w:r>
    </w:p>
  </w:footnote>
  <w:footnote w:type="continuationSeparator" w:id="0">
    <w:p w:rsidR="008C1977" w:rsidRDefault="008C1977" w:rsidP="008C1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20C"/>
    <w:multiLevelType w:val="multilevel"/>
    <w:tmpl w:val="9460A71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
    <w:nsid w:val="58091C43"/>
    <w:multiLevelType w:val="multilevel"/>
    <w:tmpl w:val="D436C3A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
    <w:nsid w:val="66FE691F"/>
    <w:multiLevelType w:val="multilevel"/>
    <w:tmpl w:val="176CD21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C2303"/>
    <w:rsid w:val="000508A9"/>
    <w:rsid w:val="000A5621"/>
    <w:rsid w:val="001F29A3"/>
    <w:rsid w:val="003C2303"/>
    <w:rsid w:val="004F7CED"/>
    <w:rsid w:val="00533E18"/>
    <w:rsid w:val="005E7017"/>
    <w:rsid w:val="006F2659"/>
    <w:rsid w:val="008C1977"/>
    <w:rsid w:val="00C9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Overskrift1">
    <w:name w:val="heading 1"/>
    <w:basedOn w:val="Normal"/>
    <w:next w:val="Normal"/>
    <w:pPr>
      <w:spacing w:before="480" w:after="120"/>
      <w:outlineLvl w:val="0"/>
    </w:pPr>
    <w:rPr>
      <w:b/>
      <w:sz w:val="48"/>
    </w:rPr>
  </w:style>
  <w:style w:type="paragraph" w:styleId="Overskrift2">
    <w:name w:val="heading 2"/>
    <w:basedOn w:val="Normal"/>
    <w:next w:val="Normal"/>
    <w:pPr>
      <w:spacing w:before="360" w:after="80"/>
      <w:outlineLvl w:val="1"/>
    </w:pPr>
    <w:rPr>
      <w:b/>
      <w:sz w:val="36"/>
    </w:rPr>
  </w:style>
  <w:style w:type="paragraph" w:styleId="Overskrift3">
    <w:name w:val="heading 3"/>
    <w:basedOn w:val="Normal"/>
    <w:next w:val="Normal"/>
    <w:pPr>
      <w:spacing w:before="280" w:after="80"/>
      <w:outlineLvl w:val="2"/>
    </w:pPr>
    <w:rPr>
      <w:b/>
      <w:sz w:val="28"/>
    </w:rPr>
  </w:style>
  <w:style w:type="paragraph" w:styleId="Overskrift4">
    <w:name w:val="heading 4"/>
    <w:basedOn w:val="Normal"/>
    <w:next w:val="Normal"/>
    <w:pPr>
      <w:spacing w:before="240" w:after="40"/>
      <w:outlineLvl w:val="3"/>
    </w:pPr>
    <w:rPr>
      <w:b/>
      <w:sz w:val="24"/>
    </w:rPr>
  </w:style>
  <w:style w:type="paragraph" w:styleId="Overskrift5">
    <w:name w:val="heading 5"/>
    <w:basedOn w:val="Normal"/>
    <w:next w:val="Normal"/>
    <w:pPr>
      <w:spacing w:before="220" w:after="40"/>
      <w:outlineLvl w:val="4"/>
    </w:pPr>
    <w:rPr>
      <w:b/>
    </w:rPr>
  </w:style>
  <w:style w:type="paragraph" w:styleId="Overskrift6">
    <w:name w:val="heading 6"/>
    <w:basedOn w:val="Normal"/>
    <w:next w:val="Normal"/>
    <w:pPr>
      <w:spacing w:before="200" w:after="40"/>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spacing w:before="480" w:after="120"/>
    </w:pPr>
    <w:rPr>
      <w:b/>
      <w:sz w:val="72"/>
    </w:rPr>
  </w:style>
  <w:style w:type="paragraph" w:styleId="Undertittel">
    <w:name w:val="Subtitle"/>
    <w:basedOn w:val="Normal"/>
    <w:next w:val="Normal"/>
    <w:pPr>
      <w:spacing w:before="360" w:after="80"/>
    </w:pPr>
    <w:rPr>
      <w:rFonts w:ascii="Georgia" w:eastAsia="Georgia" w:hAnsi="Georgia" w:cs="Georgia"/>
      <w:i/>
      <w:color w:val="666666"/>
      <w:sz w:val="4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color w:val="000000"/>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A56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5621"/>
    <w:rPr>
      <w:rFonts w:ascii="Tahoma" w:eastAsia="Calibri" w:hAnsi="Tahoma" w:cs="Tahoma"/>
      <w:color w:val="000000"/>
      <w:sz w:val="16"/>
      <w:szCs w:val="16"/>
    </w:rPr>
  </w:style>
  <w:style w:type="paragraph" w:styleId="Topptekst">
    <w:name w:val="header"/>
    <w:basedOn w:val="Normal"/>
    <w:link w:val="TopptekstTegn"/>
    <w:uiPriority w:val="99"/>
    <w:unhideWhenUsed/>
    <w:rsid w:val="008C197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C1977"/>
    <w:rPr>
      <w:rFonts w:ascii="Calibri" w:eastAsia="Calibri" w:hAnsi="Calibri" w:cs="Calibri"/>
      <w:color w:val="000000"/>
    </w:rPr>
  </w:style>
  <w:style w:type="paragraph" w:styleId="Bunntekst">
    <w:name w:val="footer"/>
    <w:basedOn w:val="Normal"/>
    <w:link w:val="BunntekstTegn"/>
    <w:uiPriority w:val="99"/>
    <w:unhideWhenUsed/>
    <w:rsid w:val="008C1977"/>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C1977"/>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Overskrift1">
    <w:name w:val="heading 1"/>
    <w:basedOn w:val="Normal"/>
    <w:next w:val="Normal"/>
    <w:pPr>
      <w:spacing w:before="480" w:after="120"/>
      <w:outlineLvl w:val="0"/>
    </w:pPr>
    <w:rPr>
      <w:b/>
      <w:sz w:val="48"/>
    </w:rPr>
  </w:style>
  <w:style w:type="paragraph" w:styleId="Overskrift2">
    <w:name w:val="heading 2"/>
    <w:basedOn w:val="Normal"/>
    <w:next w:val="Normal"/>
    <w:pPr>
      <w:spacing w:before="360" w:after="80"/>
      <w:outlineLvl w:val="1"/>
    </w:pPr>
    <w:rPr>
      <w:b/>
      <w:sz w:val="36"/>
    </w:rPr>
  </w:style>
  <w:style w:type="paragraph" w:styleId="Overskrift3">
    <w:name w:val="heading 3"/>
    <w:basedOn w:val="Normal"/>
    <w:next w:val="Normal"/>
    <w:pPr>
      <w:spacing w:before="280" w:after="80"/>
      <w:outlineLvl w:val="2"/>
    </w:pPr>
    <w:rPr>
      <w:b/>
      <w:sz w:val="28"/>
    </w:rPr>
  </w:style>
  <w:style w:type="paragraph" w:styleId="Overskrift4">
    <w:name w:val="heading 4"/>
    <w:basedOn w:val="Normal"/>
    <w:next w:val="Normal"/>
    <w:pPr>
      <w:spacing w:before="240" w:after="40"/>
      <w:outlineLvl w:val="3"/>
    </w:pPr>
    <w:rPr>
      <w:b/>
      <w:sz w:val="24"/>
    </w:rPr>
  </w:style>
  <w:style w:type="paragraph" w:styleId="Overskrift5">
    <w:name w:val="heading 5"/>
    <w:basedOn w:val="Normal"/>
    <w:next w:val="Normal"/>
    <w:pPr>
      <w:spacing w:before="220" w:after="40"/>
      <w:outlineLvl w:val="4"/>
    </w:pPr>
    <w:rPr>
      <w:b/>
    </w:rPr>
  </w:style>
  <w:style w:type="paragraph" w:styleId="Overskrift6">
    <w:name w:val="heading 6"/>
    <w:basedOn w:val="Normal"/>
    <w:next w:val="Normal"/>
    <w:pPr>
      <w:spacing w:before="200" w:after="40"/>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spacing w:before="480" w:after="120"/>
    </w:pPr>
    <w:rPr>
      <w:b/>
      <w:sz w:val="72"/>
    </w:rPr>
  </w:style>
  <w:style w:type="paragraph" w:styleId="Undertittel">
    <w:name w:val="Subtitle"/>
    <w:basedOn w:val="Normal"/>
    <w:next w:val="Normal"/>
    <w:pPr>
      <w:spacing w:before="360" w:after="80"/>
    </w:pPr>
    <w:rPr>
      <w:rFonts w:ascii="Georgia" w:eastAsia="Georgia" w:hAnsi="Georgia" w:cs="Georgia"/>
      <w:i/>
      <w:color w:val="666666"/>
      <w:sz w:val="4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color w:val="000000"/>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A56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5621"/>
    <w:rPr>
      <w:rFonts w:ascii="Tahoma" w:eastAsia="Calibri" w:hAnsi="Tahoma" w:cs="Tahoma"/>
      <w:color w:val="000000"/>
      <w:sz w:val="16"/>
      <w:szCs w:val="16"/>
    </w:rPr>
  </w:style>
  <w:style w:type="paragraph" w:styleId="Topptekst">
    <w:name w:val="header"/>
    <w:basedOn w:val="Normal"/>
    <w:link w:val="TopptekstTegn"/>
    <w:uiPriority w:val="99"/>
    <w:unhideWhenUsed/>
    <w:rsid w:val="008C197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C1977"/>
    <w:rPr>
      <w:rFonts w:ascii="Calibri" w:eastAsia="Calibri" w:hAnsi="Calibri" w:cs="Calibri"/>
      <w:color w:val="000000"/>
    </w:rPr>
  </w:style>
  <w:style w:type="paragraph" w:styleId="Bunntekst">
    <w:name w:val="footer"/>
    <w:basedOn w:val="Normal"/>
    <w:link w:val="BunntekstTegn"/>
    <w:uiPriority w:val="99"/>
    <w:unhideWhenUsed/>
    <w:rsid w:val="008C1977"/>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C197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ils.hermann@regnskog.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erika.bjureby@greenpeace.org" TargetMode="External"/><Relationship Id="rId4" Type="http://schemas.openxmlformats.org/officeDocument/2006/relationships/settings" Target="settings.xml"/><Relationship Id="rId9" Type="http://schemas.openxmlformats.org/officeDocument/2006/relationships/hyperlink" Target="mailto:anja.lyngsmark@regnskog.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A0AC742D</Template>
  <TotalTime>0</TotalTime>
  <Pages>3</Pages>
  <Words>999</Words>
  <Characters>5300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EUTR høringssvar fra Greenpeace og Regnskogfondet.docx.docx</vt:lpstr>
    </vt:vector>
  </TitlesOfParts>
  <Company>Safety Computing AS</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EUTR høringssvar fra Greenpeace og Regnskogfondet.docx.docx</dc:title>
  <dc:creator>Anja Lyngsmark</dc:creator>
  <cp:lastModifiedBy>Brita Ingebrigtsen</cp:lastModifiedBy>
  <cp:revision>2</cp:revision>
  <dcterms:created xsi:type="dcterms:W3CDTF">2015-06-30T11:45:00Z</dcterms:created>
  <dcterms:modified xsi:type="dcterms:W3CDTF">2015-06-30T11:45:00Z</dcterms:modified>
</cp:coreProperties>
</file>